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105D3" w14:textId="77777777" w:rsidR="007212D6" w:rsidRDefault="007212D6" w:rsidP="007212D6">
      <w:pPr>
        <w:pStyle w:val="Normaalweb"/>
      </w:pPr>
      <w:bookmarkStart w:id="0" w:name="_GoBack"/>
      <w:bookmarkEnd w:id="0"/>
      <w:r>
        <w:rPr>
          <w:rStyle w:val="Zwaar"/>
          <w:rFonts w:ascii="Arial" w:hAnsi="Arial" w:cs="Arial"/>
          <w:sz w:val="33"/>
          <w:szCs w:val="33"/>
        </w:rPr>
        <w:t>In dit bericht:</w:t>
      </w:r>
    </w:p>
    <w:p w14:paraId="3BE92454" w14:textId="77777777" w:rsidR="007212D6" w:rsidRDefault="007212D6" w:rsidP="007212D6">
      <w:pPr>
        <w:numPr>
          <w:ilvl w:val="0"/>
          <w:numId w:val="1"/>
        </w:numPr>
        <w:spacing w:before="100" w:beforeAutospacing="1" w:after="100" w:afterAutospacing="1"/>
      </w:pPr>
      <w:r>
        <w:rPr>
          <w:rFonts w:ascii="Arial" w:hAnsi="Arial" w:cs="Arial"/>
          <w:sz w:val="21"/>
          <w:szCs w:val="21"/>
        </w:rPr>
        <w:t xml:space="preserve">Uitbraak </w:t>
      </w:r>
      <w:r>
        <w:rPr>
          <w:rStyle w:val="Nadruk"/>
          <w:rFonts w:ascii="Arial" w:hAnsi="Arial" w:cs="Arial"/>
          <w:sz w:val="21"/>
          <w:szCs w:val="21"/>
        </w:rPr>
        <w:t>S</w:t>
      </w:r>
      <w:r>
        <w:rPr>
          <w:rFonts w:ascii="Arial" w:hAnsi="Arial" w:cs="Arial"/>
          <w:sz w:val="21"/>
          <w:szCs w:val="21"/>
        </w:rPr>
        <w:t xml:space="preserve">. </w:t>
      </w:r>
      <w:proofErr w:type="spellStart"/>
      <w:r>
        <w:rPr>
          <w:rFonts w:ascii="Arial" w:hAnsi="Arial" w:cs="Arial"/>
          <w:sz w:val="21"/>
          <w:szCs w:val="21"/>
        </w:rPr>
        <w:t>Typhi</w:t>
      </w:r>
      <w:proofErr w:type="spellEnd"/>
      <w:r>
        <w:rPr>
          <w:rFonts w:ascii="Arial" w:hAnsi="Arial" w:cs="Arial"/>
          <w:sz w:val="21"/>
          <w:szCs w:val="21"/>
        </w:rPr>
        <w:t xml:space="preserve"> in noodopvanglocatie voor asielzoekers regio Kennemerland </w:t>
      </w:r>
    </w:p>
    <w:p w14:paraId="7A237896" w14:textId="77777777" w:rsidR="007212D6" w:rsidRDefault="007212D6" w:rsidP="007212D6">
      <w:pPr>
        <w:numPr>
          <w:ilvl w:val="0"/>
          <w:numId w:val="1"/>
        </w:numPr>
        <w:spacing w:before="100" w:beforeAutospacing="1" w:after="100" w:afterAutospacing="1"/>
      </w:pPr>
      <w:r>
        <w:rPr>
          <w:rFonts w:ascii="Arial" w:hAnsi="Arial" w:cs="Arial"/>
          <w:sz w:val="21"/>
          <w:szCs w:val="21"/>
        </w:rPr>
        <w:t>Klinisch beeld en transmissie van buiktyfus</w:t>
      </w:r>
    </w:p>
    <w:p w14:paraId="3DD61D09" w14:textId="77777777" w:rsidR="007212D6" w:rsidRDefault="007212D6" w:rsidP="007212D6">
      <w:pPr>
        <w:numPr>
          <w:ilvl w:val="0"/>
          <w:numId w:val="1"/>
        </w:numPr>
        <w:spacing w:before="100" w:beforeAutospacing="1" w:after="100" w:afterAutospacing="1"/>
      </w:pPr>
      <w:r>
        <w:rPr>
          <w:rFonts w:ascii="Arial" w:hAnsi="Arial" w:cs="Arial"/>
          <w:sz w:val="21"/>
          <w:szCs w:val="21"/>
        </w:rPr>
        <w:t xml:space="preserve">Advies voor zorgverleners </w:t>
      </w:r>
    </w:p>
    <w:p w14:paraId="5A24B690" w14:textId="77777777" w:rsidR="007212D6" w:rsidRDefault="007212D6" w:rsidP="007212D6">
      <w:pPr>
        <w:pStyle w:val="Normaalweb"/>
      </w:pPr>
      <w:r>
        <w:rPr>
          <w:rFonts w:ascii="Arial" w:hAnsi="Arial" w:cs="Arial"/>
          <w:sz w:val="21"/>
          <w:szCs w:val="21"/>
        </w:rPr>
        <w:t xml:space="preserve">Dit bericht wordt tevens verzonden naar het Centraal Orgaan opvang Asielzoekers (COA) en </w:t>
      </w:r>
      <w:proofErr w:type="spellStart"/>
      <w:r>
        <w:rPr>
          <w:rFonts w:ascii="Arial" w:hAnsi="Arial" w:cs="Arial"/>
          <w:sz w:val="21"/>
          <w:szCs w:val="21"/>
        </w:rPr>
        <w:t>GezondheidsZorg</w:t>
      </w:r>
      <w:proofErr w:type="spellEnd"/>
      <w:r>
        <w:rPr>
          <w:rFonts w:ascii="Arial" w:hAnsi="Arial" w:cs="Arial"/>
          <w:sz w:val="21"/>
          <w:szCs w:val="21"/>
        </w:rPr>
        <w:t xml:space="preserve"> Asielzoekers (GZA). </w:t>
      </w:r>
    </w:p>
    <w:p w14:paraId="4D7C996A" w14:textId="77777777" w:rsidR="007212D6" w:rsidRDefault="007212D6" w:rsidP="007212D6">
      <w:pPr>
        <w:pStyle w:val="Normaalweb"/>
      </w:pPr>
      <w:r>
        <w:rPr>
          <w:rStyle w:val="Zwaar"/>
          <w:rFonts w:ascii="Arial" w:hAnsi="Arial" w:cs="Arial"/>
          <w:sz w:val="33"/>
          <w:szCs w:val="33"/>
        </w:rPr>
        <w:t>Bericht:</w:t>
      </w:r>
    </w:p>
    <w:p w14:paraId="40164EF3" w14:textId="77777777" w:rsidR="007212D6" w:rsidRDefault="007212D6" w:rsidP="007212D6">
      <w:pPr>
        <w:pStyle w:val="Normaalweb"/>
      </w:pPr>
      <w:r>
        <w:rPr>
          <w:rFonts w:ascii="Arial" w:hAnsi="Arial" w:cs="Arial"/>
          <w:sz w:val="21"/>
          <w:szCs w:val="21"/>
        </w:rPr>
        <w:t>Met dit (Lab)</w:t>
      </w:r>
      <w:proofErr w:type="spellStart"/>
      <w:r>
        <w:rPr>
          <w:rFonts w:ascii="Arial" w:hAnsi="Arial" w:cs="Arial"/>
          <w:sz w:val="21"/>
          <w:szCs w:val="21"/>
        </w:rPr>
        <w:t>infact</w:t>
      </w:r>
      <w:proofErr w:type="spellEnd"/>
      <w:r>
        <w:rPr>
          <w:rFonts w:ascii="Arial" w:hAnsi="Arial" w:cs="Arial"/>
          <w:sz w:val="21"/>
          <w:szCs w:val="21"/>
        </w:rPr>
        <w:t xml:space="preserve"> informeren wij u over een uitbraak van </w:t>
      </w:r>
      <w:r>
        <w:rPr>
          <w:rStyle w:val="Nadruk"/>
          <w:rFonts w:ascii="Arial" w:hAnsi="Arial" w:cs="Arial"/>
          <w:sz w:val="21"/>
          <w:szCs w:val="21"/>
        </w:rPr>
        <w:t>S.</w:t>
      </w:r>
      <w:r>
        <w:rPr>
          <w:rFonts w:ascii="Arial" w:hAnsi="Arial" w:cs="Arial"/>
          <w:sz w:val="21"/>
          <w:szCs w:val="21"/>
        </w:rPr>
        <w:t xml:space="preserve"> </w:t>
      </w:r>
      <w:proofErr w:type="spellStart"/>
      <w:r>
        <w:rPr>
          <w:rFonts w:ascii="Arial" w:hAnsi="Arial" w:cs="Arial"/>
          <w:sz w:val="21"/>
          <w:szCs w:val="21"/>
        </w:rPr>
        <w:t>Typhi</w:t>
      </w:r>
      <w:proofErr w:type="spellEnd"/>
      <w:r>
        <w:rPr>
          <w:rFonts w:ascii="Arial" w:hAnsi="Arial" w:cs="Arial"/>
          <w:sz w:val="21"/>
          <w:szCs w:val="21"/>
        </w:rPr>
        <w:t xml:space="preserve"> bij bewoners en medewerkers van een noodopvanglocatie voor asielzoekers gesitueerd op een riviercruiseschip in Haarlem. Deze bewoners en medewerkers bevinden zich inmiddels verspreid over Nederland door overplaatsingen naar andere COA locaties, deels vóórdat de uitbraak herkend werd. Wij vragen u alert te zijn op symptomen van buiktyfus bij asielzoekers en bij mensen die met hen in contact staan. Het is van belang om tijdig materiaal voor diagnostiek af te nemen: naast feces PCR en/of kweek is ook een bloedkweek geïndiceerd. </w:t>
      </w:r>
      <w:r>
        <w:rPr>
          <w:rStyle w:val="Nadruk"/>
          <w:rFonts w:ascii="Arial" w:hAnsi="Arial" w:cs="Arial"/>
          <w:sz w:val="21"/>
          <w:szCs w:val="21"/>
        </w:rPr>
        <w:t>Salmonella</w:t>
      </w:r>
      <w:r>
        <w:rPr>
          <w:rFonts w:ascii="Arial" w:hAnsi="Arial" w:cs="Arial"/>
          <w:sz w:val="21"/>
          <w:szCs w:val="21"/>
        </w:rPr>
        <w:t xml:space="preserve"> </w:t>
      </w:r>
      <w:proofErr w:type="spellStart"/>
      <w:r>
        <w:rPr>
          <w:rFonts w:ascii="Arial" w:hAnsi="Arial" w:cs="Arial"/>
          <w:sz w:val="21"/>
          <w:szCs w:val="21"/>
        </w:rPr>
        <w:t>Typhi</w:t>
      </w:r>
      <w:proofErr w:type="spellEnd"/>
      <w:r>
        <w:rPr>
          <w:rFonts w:ascii="Arial" w:hAnsi="Arial" w:cs="Arial"/>
          <w:sz w:val="21"/>
          <w:szCs w:val="21"/>
        </w:rPr>
        <w:t xml:space="preserve"> is een </w:t>
      </w:r>
      <w:proofErr w:type="spellStart"/>
      <w:r>
        <w:rPr>
          <w:rFonts w:ascii="Arial" w:hAnsi="Arial" w:cs="Arial"/>
          <w:sz w:val="21"/>
          <w:szCs w:val="21"/>
        </w:rPr>
        <w:t>meldingsplichtige</w:t>
      </w:r>
      <w:proofErr w:type="spellEnd"/>
      <w:r>
        <w:rPr>
          <w:rFonts w:ascii="Arial" w:hAnsi="Arial" w:cs="Arial"/>
          <w:sz w:val="21"/>
          <w:szCs w:val="21"/>
        </w:rPr>
        <w:t xml:space="preserve"> infectieziekte groep B2.</w:t>
      </w:r>
    </w:p>
    <w:p w14:paraId="32DF9925" w14:textId="77777777" w:rsidR="007212D6" w:rsidRDefault="007212D6" w:rsidP="007212D6">
      <w:pPr>
        <w:pStyle w:val="Normaalweb"/>
      </w:pPr>
      <w:r>
        <w:rPr>
          <w:rStyle w:val="Zwaar"/>
          <w:rFonts w:ascii="Arial" w:hAnsi="Arial" w:cs="Arial"/>
          <w:color w:val="42145F"/>
          <w:sz w:val="24"/>
          <w:szCs w:val="24"/>
        </w:rPr>
        <w:t xml:space="preserve">Uitbraak </w:t>
      </w:r>
      <w:r>
        <w:rPr>
          <w:rStyle w:val="Nadruk"/>
          <w:rFonts w:ascii="Arial" w:hAnsi="Arial" w:cs="Arial"/>
          <w:b/>
          <w:bCs/>
          <w:color w:val="42145F"/>
          <w:sz w:val="24"/>
          <w:szCs w:val="24"/>
        </w:rPr>
        <w:t>S</w:t>
      </w:r>
      <w:r>
        <w:rPr>
          <w:rStyle w:val="Zwaar"/>
          <w:rFonts w:ascii="Arial" w:hAnsi="Arial" w:cs="Arial"/>
          <w:color w:val="42145F"/>
          <w:sz w:val="24"/>
          <w:szCs w:val="24"/>
        </w:rPr>
        <w:t xml:space="preserve">. </w:t>
      </w:r>
      <w:proofErr w:type="spellStart"/>
      <w:r>
        <w:rPr>
          <w:rStyle w:val="Zwaar"/>
          <w:rFonts w:ascii="Arial" w:hAnsi="Arial" w:cs="Arial"/>
          <w:color w:val="42145F"/>
          <w:sz w:val="24"/>
          <w:szCs w:val="24"/>
        </w:rPr>
        <w:t>Typhi</w:t>
      </w:r>
      <w:proofErr w:type="spellEnd"/>
      <w:r>
        <w:rPr>
          <w:rStyle w:val="Zwaar"/>
          <w:rFonts w:ascii="Arial" w:hAnsi="Arial" w:cs="Arial"/>
          <w:color w:val="42145F"/>
          <w:sz w:val="24"/>
          <w:szCs w:val="24"/>
        </w:rPr>
        <w:t xml:space="preserve"> in noodopvanglocatie voor asielzoekers regio Kennemerland </w:t>
      </w:r>
    </w:p>
    <w:p w14:paraId="4702E440" w14:textId="77777777" w:rsidR="007212D6" w:rsidRDefault="007212D6" w:rsidP="007212D6">
      <w:pPr>
        <w:pStyle w:val="Normaalweb"/>
      </w:pPr>
      <w:r>
        <w:rPr>
          <w:rStyle w:val="Zwaar"/>
          <w:rFonts w:ascii="Arial" w:hAnsi="Arial" w:cs="Arial"/>
        </w:rPr>
        <w:t>Beschrijving van de uitbraak</w:t>
      </w:r>
    </w:p>
    <w:p w14:paraId="54FB53D9" w14:textId="77777777" w:rsidR="007212D6" w:rsidRDefault="007212D6" w:rsidP="007212D6">
      <w:pPr>
        <w:numPr>
          <w:ilvl w:val="0"/>
          <w:numId w:val="2"/>
        </w:numPr>
        <w:spacing w:before="100" w:beforeAutospacing="1" w:after="100" w:afterAutospacing="1"/>
      </w:pPr>
      <w:r>
        <w:rPr>
          <w:rFonts w:ascii="Arial" w:hAnsi="Arial" w:cs="Arial"/>
          <w:sz w:val="21"/>
          <w:szCs w:val="21"/>
        </w:rPr>
        <w:t xml:space="preserve">Op 7 april werd de GGD Kennemerland geïnformeerd over een bevestigd geval van een infectie met </w:t>
      </w:r>
      <w:r>
        <w:rPr>
          <w:rStyle w:val="Nadruk"/>
          <w:rFonts w:ascii="Arial" w:hAnsi="Arial" w:cs="Arial"/>
          <w:sz w:val="21"/>
          <w:szCs w:val="21"/>
        </w:rPr>
        <w:t xml:space="preserve">Salmonella </w:t>
      </w:r>
      <w:proofErr w:type="spellStart"/>
      <w:r>
        <w:rPr>
          <w:rStyle w:val="Nadruk"/>
          <w:rFonts w:ascii="Arial" w:hAnsi="Arial" w:cs="Arial"/>
          <w:sz w:val="21"/>
          <w:szCs w:val="21"/>
        </w:rPr>
        <w:t>enterica</w:t>
      </w:r>
      <w:proofErr w:type="spellEnd"/>
      <w:r>
        <w:rPr>
          <w:rFonts w:ascii="Arial" w:hAnsi="Arial" w:cs="Arial"/>
          <w:sz w:val="21"/>
          <w:szCs w:val="21"/>
        </w:rPr>
        <w:t xml:space="preserve"> subspecies </w:t>
      </w:r>
      <w:proofErr w:type="spellStart"/>
      <w:r>
        <w:rPr>
          <w:rStyle w:val="Nadruk"/>
          <w:rFonts w:ascii="Arial" w:hAnsi="Arial" w:cs="Arial"/>
          <w:sz w:val="21"/>
          <w:szCs w:val="21"/>
        </w:rPr>
        <w:t>enterica</w:t>
      </w:r>
      <w:proofErr w:type="spellEnd"/>
      <w:r>
        <w:rPr>
          <w:rFonts w:ascii="Arial" w:hAnsi="Arial" w:cs="Arial"/>
          <w:sz w:val="21"/>
          <w:szCs w:val="21"/>
        </w:rPr>
        <w:t xml:space="preserve"> </w:t>
      </w:r>
      <w:proofErr w:type="spellStart"/>
      <w:r>
        <w:rPr>
          <w:rFonts w:ascii="Arial" w:hAnsi="Arial" w:cs="Arial"/>
          <w:sz w:val="21"/>
          <w:szCs w:val="21"/>
        </w:rPr>
        <w:t>serovar</w:t>
      </w:r>
      <w:proofErr w:type="spellEnd"/>
      <w:r>
        <w:rPr>
          <w:rFonts w:ascii="Arial" w:hAnsi="Arial" w:cs="Arial"/>
          <w:sz w:val="21"/>
          <w:szCs w:val="21"/>
        </w:rPr>
        <w:t xml:space="preserve"> </w:t>
      </w:r>
      <w:proofErr w:type="spellStart"/>
      <w:r>
        <w:rPr>
          <w:rFonts w:ascii="Arial" w:hAnsi="Arial" w:cs="Arial"/>
          <w:sz w:val="21"/>
          <w:szCs w:val="21"/>
        </w:rPr>
        <w:t>Typhi</w:t>
      </w:r>
      <w:proofErr w:type="spellEnd"/>
      <w:r>
        <w:rPr>
          <w:rFonts w:ascii="Arial" w:hAnsi="Arial" w:cs="Arial"/>
          <w:sz w:val="21"/>
          <w:szCs w:val="21"/>
        </w:rPr>
        <w:t xml:space="preserve"> bij een bewoner van een noodopvanglocatie voor asielzoekers gesitueerd op een riviercruiseschip in Haarlem. De </w:t>
      </w:r>
      <w:r>
        <w:rPr>
          <w:rStyle w:val="Nadruk"/>
          <w:rFonts w:ascii="Arial" w:hAnsi="Arial" w:cs="Arial"/>
          <w:sz w:val="21"/>
          <w:szCs w:val="21"/>
        </w:rPr>
        <w:t>S</w:t>
      </w:r>
      <w:r>
        <w:rPr>
          <w:rFonts w:ascii="Arial" w:hAnsi="Arial" w:cs="Arial"/>
          <w:sz w:val="21"/>
          <w:szCs w:val="21"/>
        </w:rPr>
        <w:t xml:space="preserve">. </w:t>
      </w:r>
      <w:proofErr w:type="spellStart"/>
      <w:r>
        <w:rPr>
          <w:rFonts w:ascii="Arial" w:hAnsi="Arial" w:cs="Arial"/>
          <w:sz w:val="21"/>
          <w:szCs w:val="21"/>
        </w:rPr>
        <w:t>Typhi</w:t>
      </w:r>
      <w:proofErr w:type="spellEnd"/>
      <w:r>
        <w:rPr>
          <w:rFonts w:ascii="Arial" w:hAnsi="Arial" w:cs="Arial"/>
          <w:sz w:val="21"/>
          <w:szCs w:val="21"/>
        </w:rPr>
        <w:t xml:space="preserve"> is gevonden in feces en een bloedkweek.</w:t>
      </w:r>
    </w:p>
    <w:p w14:paraId="48CC9B8D" w14:textId="77777777" w:rsidR="007212D6" w:rsidRDefault="007212D6" w:rsidP="007212D6">
      <w:pPr>
        <w:numPr>
          <w:ilvl w:val="0"/>
          <w:numId w:val="2"/>
        </w:numPr>
        <w:spacing w:before="100" w:beforeAutospacing="1" w:after="100" w:afterAutospacing="1"/>
      </w:pPr>
      <w:r>
        <w:rPr>
          <w:rFonts w:ascii="Arial" w:hAnsi="Arial" w:cs="Arial"/>
          <w:sz w:val="21"/>
          <w:szCs w:val="21"/>
        </w:rPr>
        <w:t>In totaal verbleven er ruim 100 asielzoekers op dit schip. Ook ongeveer 100 asielzoekers op een tweede, aanliggend schip kregen sinds enkele weken hun maaltijden op het eerstgenoemde schip. De asielzoekers zijn afkomstig uit 20 verschillende landen, voornamelijk uit Syrië en Pakistan.</w:t>
      </w:r>
    </w:p>
    <w:p w14:paraId="6C784364" w14:textId="77777777" w:rsidR="007212D6" w:rsidRDefault="007212D6" w:rsidP="007212D6">
      <w:pPr>
        <w:numPr>
          <w:ilvl w:val="0"/>
          <w:numId w:val="2"/>
        </w:numPr>
        <w:spacing w:before="100" w:beforeAutospacing="1" w:after="100" w:afterAutospacing="1"/>
      </w:pPr>
      <w:r>
        <w:rPr>
          <w:rFonts w:ascii="Arial" w:hAnsi="Arial" w:cs="Arial"/>
          <w:sz w:val="21"/>
          <w:szCs w:val="21"/>
        </w:rPr>
        <w:t>Ca. 40 asielzoekers hebben klachten passend bij buiktyfus (gehad). Daarnaast zijn er ook ziektegevallen onder medewerkers (o.a. crew, beveiliging en externen die aan boord gewerkt hebben). De eerste ziektedagen liggen tussen 12 maart en 11 april, met sinds 23 maart een duidelijke toename. Tot dusverre zijn 10 personen (zowel medewerkers als asielzoekers) opgenomen (geweest) in verschillende ziekenhuizen of gezien op een SEH.</w:t>
      </w:r>
    </w:p>
    <w:p w14:paraId="5CBE44FE" w14:textId="77777777" w:rsidR="007212D6" w:rsidRDefault="007212D6" w:rsidP="007212D6">
      <w:pPr>
        <w:numPr>
          <w:ilvl w:val="0"/>
          <w:numId w:val="2"/>
        </w:numPr>
        <w:spacing w:before="100" w:beforeAutospacing="1" w:after="100" w:afterAutospacing="1"/>
      </w:pPr>
      <w:r>
        <w:rPr>
          <w:rFonts w:ascii="Arial" w:hAnsi="Arial" w:cs="Arial"/>
          <w:sz w:val="21"/>
          <w:szCs w:val="21"/>
        </w:rPr>
        <w:t xml:space="preserve">Er zijn inmiddels landelijk 15 bevestigde </w:t>
      </w:r>
      <w:r>
        <w:rPr>
          <w:rStyle w:val="Nadruk"/>
          <w:rFonts w:ascii="Arial" w:hAnsi="Arial" w:cs="Arial"/>
          <w:sz w:val="21"/>
          <w:szCs w:val="21"/>
        </w:rPr>
        <w:t>S</w:t>
      </w:r>
      <w:r>
        <w:rPr>
          <w:rFonts w:ascii="Arial" w:hAnsi="Arial" w:cs="Arial"/>
          <w:sz w:val="21"/>
          <w:szCs w:val="21"/>
        </w:rPr>
        <w:t xml:space="preserve">. </w:t>
      </w:r>
      <w:proofErr w:type="spellStart"/>
      <w:r>
        <w:rPr>
          <w:rFonts w:ascii="Arial" w:hAnsi="Arial" w:cs="Arial"/>
          <w:sz w:val="21"/>
          <w:szCs w:val="21"/>
        </w:rPr>
        <w:t>Typhi</w:t>
      </w:r>
      <w:proofErr w:type="spellEnd"/>
      <w:r>
        <w:rPr>
          <w:rFonts w:ascii="Arial" w:hAnsi="Arial" w:cs="Arial"/>
          <w:sz w:val="21"/>
          <w:szCs w:val="21"/>
        </w:rPr>
        <w:t xml:space="preserve">-infecties (7 bewoners en 8 medewerkers). Verder zijn er nog 5 mensen positief voor </w:t>
      </w:r>
      <w:r>
        <w:rPr>
          <w:rStyle w:val="Nadruk"/>
          <w:rFonts w:ascii="Arial" w:hAnsi="Arial" w:cs="Arial"/>
          <w:sz w:val="21"/>
          <w:szCs w:val="21"/>
        </w:rPr>
        <w:t xml:space="preserve">Salmonella </w:t>
      </w:r>
      <w:proofErr w:type="spellStart"/>
      <w:r>
        <w:rPr>
          <w:rStyle w:val="Nadruk"/>
          <w:rFonts w:ascii="Arial" w:hAnsi="Arial" w:cs="Arial"/>
          <w:sz w:val="21"/>
          <w:szCs w:val="21"/>
        </w:rPr>
        <w:t>spp</w:t>
      </w:r>
      <w:proofErr w:type="spellEnd"/>
      <w:r>
        <w:rPr>
          <w:rFonts w:ascii="Arial" w:hAnsi="Arial" w:cs="Arial"/>
          <w:sz w:val="21"/>
          <w:szCs w:val="21"/>
        </w:rPr>
        <w:t xml:space="preserve">. (PCR) waarvan de </w:t>
      </w:r>
      <w:proofErr w:type="spellStart"/>
      <w:r>
        <w:rPr>
          <w:rFonts w:ascii="Arial" w:hAnsi="Arial" w:cs="Arial"/>
          <w:sz w:val="21"/>
          <w:szCs w:val="21"/>
        </w:rPr>
        <w:t>serotypering</w:t>
      </w:r>
      <w:proofErr w:type="spellEnd"/>
      <w:r>
        <w:rPr>
          <w:rFonts w:ascii="Arial" w:hAnsi="Arial" w:cs="Arial"/>
          <w:sz w:val="21"/>
          <w:szCs w:val="21"/>
        </w:rPr>
        <w:t xml:space="preserve"> nog volgt.</w:t>
      </w:r>
    </w:p>
    <w:p w14:paraId="0A69B33F" w14:textId="77777777" w:rsidR="007212D6" w:rsidRDefault="007212D6" w:rsidP="007212D6">
      <w:pPr>
        <w:numPr>
          <w:ilvl w:val="0"/>
          <w:numId w:val="2"/>
        </w:numPr>
        <w:spacing w:before="100" w:beforeAutospacing="1" w:after="100" w:afterAutospacing="1"/>
      </w:pPr>
      <w:r>
        <w:rPr>
          <w:rFonts w:ascii="Arial" w:hAnsi="Arial" w:cs="Arial"/>
          <w:sz w:val="21"/>
          <w:szCs w:val="21"/>
        </w:rPr>
        <w:t xml:space="preserve">De bron van de uitbraak is vooralsnog niet vastgesteld. Onderzoek bij medewerkers in de keuken is gaande. Onderzoek van het drinkwatersysteem van het schip liet tot op heden geen groei van </w:t>
      </w:r>
      <w:r>
        <w:rPr>
          <w:rStyle w:val="Nadruk"/>
          <w:rFonts w:ascii="Arial" w:hAnsi="Arial" w:cs="Arial"/>
          <w:sz w:val="21"/>
          <w:szCs w:val="21"/>
        </w:rPr>
        <w:t>S</w:t>
      </w:r>
      <w:r>
        <w:rPr>
          <w:rFonts w:ascii="Arial" w:hAnsi="Arial" w:cs="Arial"/>
          <w:sz w:val="21"/>
          <w:szCs w:val="21"/>
        </w:rPr>
        <w:t xml:space="preserve">. </w:t>
      </w:r>
      <w:proofErr w:type="spellStart"/>
      <w:r>
        <w:rPr>
          <w:rFonts w:ascii="Arial" w:hAnsi="Arial" w:cs="Arial"/>
          <w:sz w:val="21"/>
          <w:szCs w:val="21"/>
        </w:rPr>
        <w:t>Typhi</w:t>
      </w:r>
      <w:proofErr w:type="spellEnd"/>
      <w:r>
        <w:rPr>
          <w:rFonts w:ascii="Arial" w:hAnsi="Arial" w:cs="Arial"/>
          <w:sz w:val="21"/>
          <w:szCs w:val="21"/>
        </w:rPr>
        <w:t xml:space="preserve"> zien, maar dit sluit het niet uit. Er zijn afgelopen week voorzorgsmaatregelen getroffen op de schepen om verdere transmissie te voorkomen. </w:t>
      </w:r>
    </w:p>
    <w:p w14:paraId="140E2BBD" w14:textId="77777777" w:rsidR="007212D6" w:rsidRDefault="007212D6" w:rsidP="007212D6">
      <w:pPr>
        <w:pStyle w:val="Normaalweb"/>
      </w:pPr>
      <w:r>
        <w:rPr>
          <w:rStyle w:val="Zwaar"/>
          <w:rFonts w:ascii="Arial" w:hAnsi="Arial" w:cs="Arial"/>
          <w:sz w:val="21"/>
          <w:szCs w:val="21"/>
        </w:rPr>
        <w:t>Overplaatsingen en verspreiding mogelijk door heel Nederland</w:t>
      </w:r>
    </w:p>
    <w:p w14:paraId="7EB0BFCF" w14:textId="77777777" w:rsidR="007212D6" w:rsidRDefault="007212D6" w:rsidP="007212D6">
      <w:pPr>
        <w:pStyle w:val="Normaalweb"/>
      </w:pPr>
      <w:r>
        <w:rPr>
          <w:rFonts w:ascii="Arial" w:hAnsi="Arial" w:cs="Arial"/>
          <w:sz w:val="21"/>
          <w:szCs w:val="21"/>
        </w:rPr>
        <w:t>Het Centraal Orgaan Opvang Asielzoekers (COA) verplaatst momenteel de bewoners van beide schepen naar andere locaties om een eventuele bron op het schip uit te schakelen. Een deel van de groep bewoners is inmiddels overgeplaatst naar de regio GGD IJsselland. Anderen zullen vandaag naar de regio GGD Gelderland-Midden overgeplaatst worden.</w:t>
      </w:r>
    </w:p>
    <w:p w14:paraId="5DBB5358" w14:textId="77777777" w:rsidR="007212D6" w:rsidRDefault="007212D6" w:rsidP="007212D6">
      <w:pPr>
        <w:pStyle w:val="Normaalweb"/>
      </w:pPr>
      <w:r>
        <w:rPr>
          <w:rFonts w:ascii="Arial" w:hAnsi="Arial" w:cs="Arial"/>
          <w:sz w:val="21"/>
          <w:szCs w:val="21"/>
        </w:rPr>
        <w:lastRenderedPageBreak/>
        <w:t xml:space="preserve">Daarnaast zijn er tenminste 20 asielzoekers die al eerder overgeplaatst zijn om andere redenen. Het is op dit moment nog onbekend waar zij verblijven en of zij ziekteverschijnselen vertonen. De COA is bezig deze personen op te sporen, maar het is mogelijk dat verdere verspreiding via deze personen al is opgetreden. Ook medewerkers van de schepen kunnen woonachtig zijn door heel Nederland; van enkelen is bekend dat zij in ziekenhuizen buiten regio Kennemerland zijn opgenomen. </w:t>
      </w:r>
    </w:p>
    <w:p w14:paraId="76794D94" w14:textId="77777777" w:rsidR="007212D6" w:rsidRDefault="007212D6" w:rsidP="007212D6">
      <w:pPr>
        <w:pStyle w:val="Normaalweb"/>
      </w:pPr>
      <w:r>
        <w:rPr>
          <w:rStyle w:val="Zwaar"/>
          <w:rFonts w:ascii="Arial" w:hAnsi="Arial" w:cs="Arial"/>
          <w:color w:val="42145F"/>
          <w:sz w:val="24"/>
          <w:szCs w:val="24"/>
        </w:rPr>
        <w:t>Klinisch beeld en transmissie van buiktyfus</w:t>
      </w:r>
    </w:p>
    <w:p w14:paraId="26A21536" w14:textId="77777777" w:rsidR="007212D6" w:rsidRDefault="007212D6" w:rsidP="007212D6">
      <w:pPr>
        <w:pStyle w:val="Normaalweb"/>
      </w:pPr>
      <w:r>
        <w:rPr>
          <w:rStyle w:val="Zwaar"/>
          <w:rFonts w:ascii="Arial" w:hAnsi="Arial" w:cs="Arial"/>
        </w:rPr>
        <w:t>Klinisch beeld</w:t>
      </w:r>
    </w:p>
    <w:p w14:paraId="33148891" w14:textId="77777777" w:rsidR="007212D6" w:rsidRDefault="007212D6" w:rsidP="007212D6">
      <w:pPr>
        <w:pStyle w:val="Normaalweb"/>
      </w:pPr>
      <w:r>
        <w:rPr>
          <w:rFonts w:ascii="Arial" w:hAnsi="Arial" w:cs="Arial"/>
          <w:sz w:val="21"/>
          <w:szCs w:val="21"/>
        </w:rPr>
        <w:t xml:space="preserve">Buiktyfus is geen zoönose, de mens is het enige reservoir. De ziekte kenmerkt zich door persisterende koorts, en klachten als hoofdpijn, malaise, (vage) buikpijn met daarbij soms diarree of obstipatie. In de helft van de gevallen bestaat een relatieve bradycardie. Bij sommige </w:t>
      </w:r>
      <w:proofErr w:type="spellStart"/>
      <w:r>
        <w:rPr>
          <w:rFonts w:ascii="Arial" w:hAnsi="Arial" w:cs="Arial"/>
          <w:sz w:val="21"/>
          <w:szCs w:val="21"/>
        </w:rPr>
        <w:t>patienten</w:t>
      </w:r>
      <w:proofErr w:type="spellEnd"/>
      <w:r>
        <w:rPr>
          <w:rFonts w:ascii="Arial" w:hAnsi="Arial" w:cs="Arial"/>
          <w:sz w:val="21"/>
          <w:szCs w:val="21"/>
        </w:rPr>
        <w:t xml:space="preserve"> is er in het begin sprake van een niet-productieve hoest. Er ontstaat splenomegalie en vooral op de huid van de buik ziet men bij 25% van de zieken met een witte huid scherp omschreven rode vlekken (</w:t>
      </w:r>
      <w:proofErr w:type="spellStart"/>
      <w:r>
        <w:rPr>
          <w:rFonts w:ascii="Arial" w:hAnsi="Arial" w:cs="Arial"/>
          <w:sz w:val="21"/>
          <w:szCs w:val="21"/>
        </w:rPr>
        <w:t>roseolen</w:t>
      </w:r>
      <w:proofErr w:type="spellEnd"/>
      <w:r>
        <w:rPr>
          <w:rFonts w:ascii="Arial" w:hAnsi="Arial" w:cs="Arial"/>
          <w:sz w:val="21"/>
          <w:szCs w:val="21"/>
        </w:rPr>
        <w:t>). De meest voorkomende complicatie is darmulceratie(s) met bloedingen of perforatie. Zonder behandeling ligt de mortaliteit tussen 10-25% ten gevolge van complicaties. Na een koortsvrije periode ontstaat in 5-28% van de gevallen een recidief, waarbij bloed- en feceskweken (opnieuw) positief worden.</w:t>
      </w:r>
      <w:r>
        <w:rPr>
          <w:rStyle w:val="Zwaar"/>
          <w:rFonts w:ascii="Arial" w:hAnsi="Arial" w:cs="Arial"/>
          <w:sz w:val="21"/>
          <w:szCs w:val="21"/>
        </w:rPr>
        <w:t xml:space="preserve"> </w:t>
      </w:r>
      <w:r>
        <w:rPr>
          <w:rFonts w:ascii="Arial" w:hAnsi="Arial" w:cs="Arial"/>
          <w:sz w:val="21"/>
          <w:szCs w:val="21"/>
        </w:rPr>
        <w:t xml:space="preserve">Zie voor meer informatie de </w:t>
      </w:r>
      <w:hyperlink r:id="rId7" w:anchor="diagnostiek" w:history="1">
        <w:r>
          <w:rPr>
            <w:rStyle w:val="Hyperlink"/>
            <w:rFonts w:ascii="Arial" w:hAnsi="Arial" w:cs="Arial"/>
            <w:sz w:val="21"/>
            <w:szCs w:val="21"/>
          </w:rPr>
          <w:t>LCI-richtlijn buiktyfus</w:t>
        </w:r>
      </w:hyperlink>
      <w:r>
        <w:rPr>
          <w:rFonts w:ascii="Arial" w:hAnsi="Arial" w:cs="Arial"/>
          <w:sz w:val="21"/>
          <w:szCs w:val="21"/>
        </w:rPr>
        <w:t>.</w:t>
      </w:r>
    </w:p>
    <w:p w14:paraId="35C7F53F" w14:textId="77777777" w:rsidR="007212D6" w:rsidRDefault="007212D6" w:rsidP="007212D6">
      <w:pPr>
        <w:pStyle w:val="Normaalweb"/>
      </w:pPr>
      <w:r>
        <w:rPr>
          <w:rStyle w:val="Zwaar"/>
          <w:rFonts w:ascii="Arial" w:hAnsi="Arial" w:cs="Arial"/>
        </w:rPr>
        <w:t>Transmissie en incubatieperiode</w:t>
      </w:r>
    </w:p>
    <w:p w14:paraId="5318522B" w14:textId="77777777" w:rsidR="007212D6" w:rsidRDefault="007212D6" w:rsidP="007212D6">
      <w:pPr>
        <w:pStyle w:val="Normaalweb"/>
      </w:pPr>
      <w:r>
        <w:rPr>
          <w:rFonts w:ascii="Arial" w:hAnsi="Arial" w:cs="Arial"/>
          <w:sz w:val="21"/>
          <w:szCs w:val="21"/>
        </w:rPr>
        <w:t xml:space="preserve">De transmissieroute van </w:t>
      </w:r>
      <w:r>
        <w:rPr>
          <w:rStyle w:val="Nadruk"/>
          <w:rFonts w:ascii="Arial" w:hAnsi="Arial" w:cs="Arial"/>
          <w:sz w:val="21"/>
          <w:szCs w:val="21"/>
        </w:rPr>
        <w:t>S</w:t>
      </w:r>
      <w:r>
        <w:rPr>
          <w:rFonts w:ascii="Arial" w:hAnsi="Arial" w:cs="Arial"/>
          <w:sz w:val="21"/>
          <w:szCs w:val="21"/>
        </w:rPr>
        <w:t xml:space="preserve">. </w:t>
      </w:r>
      <w:proofErr w:type="spellStart"/>
      <w:r>
        <w:rPr>
          <w:rFonts w:ascii="Arial" w:hAnsi="Arial" w:cs="Arial"/>
          <w:sz w:val="21"/>
          <w:szCs w:val="21"/>
        </w:rPr>
        <w:t>Typhi</w:t>
      </w:r>
      <w:proofErr w:type="spellEnd"/>
      <w:r>
        <w:rPr>
          <w:rFonts w:ascii="Arial" w:hAnsi="Arial" w:cs="Arial"/>
          <w:sz w:val="21"/>
          <w:szCs w:val="21"/>
        </w:rPr>
        <w:t xml:space="preserve"> is fecaal-oraal. Verspreiding vindt in feite alleen plaats door consumptie van water en/of voedsel, besmet met feces van patiënten/dragers. Directe besmetting van mens-op-mens is ongewoon, maar kan in bijzondere gevallen onder slechte hygiënische omstandigheden voorkomen. We gaan ervan uit dat iemand maximaal 2 weken besmettelijk is na gerichte </w:t>
      </w:r>
      <w:proofErr w:type="spellStart"/>
      <w:r>
        <w:rPr>
          <w:rFonts w:ascii="Arial" w:hAnsi="Arial" w:cs="Arial"/>
          <w:sz w:val="21"/>
          <w:szCs w:val="21"/>
        </w:rPr>
        <w:t>antiobiotische</w:t>
      </w:r>
      <w:proofErr w:type="spellEnd"/>
      <w:r>
        <w:rPr>
          <w:rFonts w:ascii="Arial" w:hAnsi="Arial" w:cs="Arial"/>
          <w:sz w:val="21"/>
          <w:szCs w:val="21"/>
        </w:rPr>
        <w:t xml:space="preserve"> behandeling, maar langdurig dragerschap komt voor.</w:t>
      </w:r>
    </w:p>
    <w:p w14:paraId="6715251E" w14:textId="77777777" w:rsidR="007212D6" w:rsidRDefault="007212D6" w:rsidP="007212D6">
      <w:pPr>
        <w:pStyle w:val="Normaalweb"/>
      </w:pPr>
      <w:r>
        <w:rPr>
          <w:rFonts w:ascii="Arial" w:hAnsi="Arial" w:cs="Arial"/>
          <w:sz w:val="21"/>
          <w:szCs w:val="21"/>
        </w:rPr>
        <w:t xml:space="preserve">De incubatietijd is afhankelijk van het </w:t>
      </w:r>
      <w:proofErr w:type="spellStart"/>
      <w:r>
        <w:rPr>
          <w:rFonts w:ascii="Arial" w:hAnsi="Arial" w:cs="Arial"/>
          <w:sz w:val="21"/>
          <w:szCs w:val="21"/>
        </w:rPr>
        <w:t>inoculum</w:t>
      </w:r>
      <w:proofErr w:type="spellEnd"/>
      <w:r>
        <w:rPr>
          <w:rFonts w:ascii="Arial" w:hAnsi="Arial" w:cs="Arial"/>
          <w:sz w:val="21"/>
          <w:szCs w:val="21"/>
        </w:rPr>
        <w:t xml:space="preserve"> en duurt meestal acht tot veertien dagen, met een maximale spreiding van 3 dagen tot 1 maand. Zie voor meer informatie de </w:t>
      </w:r>
      <w:hyperlink r:id="rId8" w:anchor="diagnostiek" w:history="1">
        <w:r>
          <w:rPr>
            <w:rStyle w:val="Hyperlink"/>
            <w:rFonts w:ascii="Arial" w:hAnsi="Arial" w:cs="Arial"/>
            <w:sz w:val="21"/>
            <w:szCs w:val="21"/>
          </w:rPr>
          <w:t>LCI-richtlijn buiktyfus</w:t>
        </w:r>
      </w:hyperlink>
      <w:r>
        <w:rPr>
          <w:rFonts w:ascii="Arial" w:hAnsi="Arial" w:cs="Arial"/>
          <w:sz w:val="21"/>
          <w:szCs w:val="21"/>
        </w:rPr>
        <w:t>.</w:t>
      </w:r>
    </w:p>
    <w:p w14:paraId="313DE683" w14:textId="77777777" w:rsidR="007212D6" w:rsidRDefault="007212D6" w:rsidP="007212D6">
      <w:pPr>
        <w:pStyle w:val="Normaalweb"/>
      </w:pPr>
      <w:r>
        <w:rPr>
          <w:rStyle w:val="Zwaar"/>
          <w:rFonts w:ascii="Arial" w:hAnsi="Arial" w:cs="Arial"/>
          <w:color w:val="42145F"/>
          <w:sz w:val="24"/>
          <w:szCs w:val="24"/>
        </w:rPr>
        <w:t xml:space="preserve">Advies voor zorgverleners </w:t>
      </w:r>
    </w:p>
    <w:p w14:paraId="2EC0F7AC" w14:textId="77777777" w:rsidR="007212D6" w:rsidRDefault="007212D6" w:rsidP="007212D6">
      <w:pPr>
        <w:pStyle w:val="Normaalweb"/>
      </w:pPr>
      <w:r>
        <w:rPr>
          <w:rStyle w:val="Zwaar"/>
          <w:rFonts w:ascii="Arial" w:hAnsi="Arial" w:cs="Arial"/>
        </w:rPr>
        <w:t>Alertheid op diagnose bij asielzoekers</w:t>
      </w:r>
    </w:p>
    <w:p w14:paraId="3BEA5149" w14:textId="77777777" w:rsidR="007212D6" w:rsidRDefault="007212D6" w:rsidP="007212D6">
      <w:pPr>
        <w:numPr>
          <w:ilvl w:val="0"/>
          <w:numId w:val="3"/>
        </w:numPr>
        <w:spacing w:before="100" w:beforeAutospacing="1" w:after="100" w:afterAutospacing="1"/>
      </w:pPr>
      <w:r>
        <w:rPr>
          <w:rFonts w:ascii="Arial" w:hAnsi="Arial" w:cs="Arial"/>
          <w:sz w:val="21"/>
          <w:szCs w:val="21"/>
        </w:rPr>
        <w:t xml:space="preserve">Wees alert op de mogelijke diagnose buiktyfus wanneer asielzoekers zich bij u melden met klachten. </w:t>
      </w:r>
    </w:p>
    <w:p w14:paraId="273D2228" w14:textId="77777777" w:rsidR="007212D6" w:rsidRDefault="007212D6" w:rsidP="007212D6">
      <w:pPr>
        <w:numPr>
          <w:ilvl w:val="0"/>
          <w:numId w:val="3"/>
        </w:numPr>
        <w:spacing w:before="100" w:beforeAutospacing="1" w:after="100" w:afterAutospacing="1"/>
      </w:pPr>
      <w:r>
        <w:rPr>
          <w:rFonts w:ascii="Arial" w:hAnsi="Arial" w:cs="Arial"/>
          <w:sz w:val="21"/>
          <w:szCs w:val="21"/>
        </w:rPr>
        <w:t xml:space="preserve">Vraag na of zij in de periode vanaf 12 februari 2022 in Haarlem op het riviercruiseschip Liberty Ann zijn geweest, of contact hebben gehad met personen die hier verbleven. </w:t>
      </w:r>
    </w:p>
    <w:p w14:paraId="6F541AB1" w14:textId="77777777" w:rsidR="007212D6" w:rsidRDefault="007212D6" w:rsidP="007212D6">
      <w:pPr>
        <w:pStyle w:val="Normaalweb"/>
      </w:pPr>
      <w:r>
        <w:rPr>
          <w:rStyle w:val="Zwaar"/>
          <w:rFonts w:ascii="Arial" w:hAnsi="Arial" w:cs="Arial"/>
        </w:rPr>
        <w:t>Aandachtspunten voor diagnostiek</w:t>
      </w:r>
    </w:p>
    <w:p w14:paraId="0890E10E" w14:textId="77777777" w:rsidR="007212D6" w:rsidRDefault="007212D6" w:rsidP="007212D6">
      <w:pPr>
        <w:pStyle w:val="Normaalweb"/>
      </w:pPr>
      <w:r>
        <w:rPr>
          <w:rStyle w:val="Nadruk"/>
          <w:rFonts w:ascii="Arial" w:hAnsi="Arial" w:cs="Arial"/>
          <w:sz w:val="21"/>
          <w:szCs w:val="21"/>
        </w:rPr>
        <w:t>S.</w:t>
      </w:r>
      <w:r>
        <w:rPr>
          <w:rFonts w:ascii="Arial" w:hAnsi="Arial" w:cs="Arial"/>
          <w:sz w:val="21"/>
          <w:szCs w:val="21"/>
        </w:rPr>
        <w:t xml:space="preserve"> </w:t>
      </w:r>
      <w:proofErr w:type="spellStart"/>
      <w:r>
        <w:rPr>
          <w:rFonts w:ascii="Arial" w:hAnsi="Arial" w:cs="Arial"/>
          <w:sz w:val="21"/>
          <w:szCs w:val="21"/>
        </w:rPr>
        <w:t>Typhi</w:t>
      </w:r>
      <w:proofErr w:type="spellEnd"/>
      <w:r>
        <w:rPr>
          <w:rFonts w:ascii="Arial" w:hAnsi="Arial" w:cs="Arial"/>
          <w:sz w:val="21"/>
          <w:szCs w:val="21"/>
        </w:rPr>
        <w:t xml:space="preserve"> kan worden aangetoond door middel van kweek op onder andere bloed en feces. Feceskweken zijn (indien eenmalig uitgevoerd) doorgaans slechts in 45-64% van de gevallen positief. Als twee tot drie bloedkweken worden afgenomen kan </w:t>
      </w:r>
      <w:r>
        <w:rPr>
          <w:rStyle w:val="Nadruk"/>
          <w:rFonts w:ascii="Arial" w:hAnsi="Arial" w:cs="Arial"/>
          <w:sz w:val="21"/>
          <w:szCs w:val="21"/>
        </w:rPr>
        <w:t>S.</w:t>
      </w:r>
      <w:r>
        <w:rPr>
          <w:rStyle w:val="Zwaar"/>
          <w:rFonts w:ascii="Arial" w:hAnsi="Arial" w:cs="Arial"/>
          <w:i/>
          <w:iCs/>
          <w:sz w:val="21"/>
          <w:szCs w:val="21"/>
        </w:rPr>
        <w:t xml:space="preserve"> </w:t>
      </w:r>
      <w:proofErr w:type="spellStart"/>
      <w:r>
        <w:rPr>
          <w:rFonts w:ascii="Arial" w:hAnsi="Arial" w:cs="Arial"/>
          <w:sz w:val="21"/>
          <w:szCs w:val="21"/>
        </w:rPr>
        <w:t>Typhi</w:t>
      </w:r>
      <w:proofErr w:type="spellEnd"/>
      <w:r>
        <w:rPr>
          <w:rFonts w:ascii="Arial" w:hAnsi="Arial" w:cs="Arial"/>
          <w:sz w:val="21"/>
          <w:szCs w:val="21"/>
        </w:rPr>
        <w:t xml:space="preserve"> in 70% van de klinisch verdachte gevallen worden geïsoleerd.</w:t>
      </w:r>
    </w:p>
    <w:p w14:paraId="3916872A" w14:textId="77777777" w:rsidR="007212D6" w:rsidRDefault="007212D6" w:rsidP="007212D6">
      <w:pPr>
        <w:pStyle w:val="Normaalweb"/>
      </w:pPr>
      <w:r>
        <w:rPr>
          <w:rFonts w:ascii="Arial" w:hAnsi="Arial" w:cs="Arial"/>
          <w:sz w:val="21"/>
          <w:szCs w:val="21"/>
        </w:rPr>
        <w:t xml:space="preserve">Direct moleculaire diagnostiek op </w:t>
      </w:r>
      <w:r>
        <w:rPr>
          <w:rStyle w:val="Nadruk"/>
          <w:rFonts w:ascii="Arial" w:hAnsi="Arial" w:cs="Arial"/>
          <w:sz w:val="21"/>
          <w:szCs w:val="21"/>
        </w:rPr>
        <w:t>S</w:t>
      </w:r>
      <w:r>
        <w:rPr>
          <w:rFonts w:ascii="Arial" w:hAnsi="Arial" w:cs="Arial"/>
          <w:sz w:val="21"/>
          <w:szCs w:val="21"/>
        </w:rPr>
        <w:t xml:space="preserve">. </w:t>
      </w:r>
      <w:proofErr w:type="spellStart"/>
      <w:r>
        <w:rPr>
          <w:rFonts w:ascii="Arial" w:hAnsi="Arial" w:cs="Arial"/>
          <w:sz w:val="21"/>
          <w:szCs w:val="21"/>
        </w:rPr>
        <w:t>Typhi</w:t>
      </w:r>
      <w:proofErr w:type="spellEnd"/>
      <w:r>
        <w:rPr>
          <w:rFonts w:ascii="Arial" w:hAnsi="Arial" w:cs="Arial"/>
          <w:sz w:val="21"/>
          <w:szCs w:val="21"/>
        </w:rPr>
        <w:t xml:space="preserve"> wordt niet routinematig gebruikt, wel beschikken veel laboratoria over fecesdiagnostiek voor een Salmonella-brede PCR, waarna voor bepaling van het </w:t>
      </w:r>
      <w:proofErr w:type="spellStart"/>
      <w:r>
        <w:rPr>
          <w:rFonts w:ascii="Arial" w:hAnsi="Arial" w:cs="Arial"/>
          <w:sz w:val="21"/>
          <w:szCs w:val="21"/>
        </w:rPr>
        <w:t>serovar</w:t>
      </w:r>
      <w:proofErr w:type="spellEnd"/>
      <w:r>
        <w:rPr>
          <w:rFonts w:ascii="Arial" w:hAnsi="Arial" w:cs="Arial"/>
          <w:sz w:val="21"/>
          <w:szCs w:val="21"/>
        </w:rPr>
        <w:t xml:space="preserve"> aanvullend een kweek nodig is.  </w:t>
      </w:r>
    </w:p>
    <w:p w14:paraId="304C2F20" w14:textId="77777777" w:rsidR="007212D6" w:rsidRDefault="007212D6" w:rsidP="007212D6">
      <w:pPr>
        <w:numPr>
          <w:ilvl w:val="0"/>
          <w:numId w:val="4"/>
        </w:numPr>
        <w:spacing w:before="100" w:beforeAutospacing="1" w:after="100" w:afterAutospacing="1"/>
      </w:pPr>
      <w:r>
        <w:rPr>
          <w:rFonts w:ascii="Arial" w:hAnsi="Arial" w:cs="Arial"/>
          <w:sz w:val="21"/>
          <w:szCs w:val="21"/>
        </w:rPr>
        <w:lastRenderedPageBreak/>
        <w:t>Wij verzoeken u om bij patiënten met een verdachte symptomatologie zowel bloedkweken als fecesmonsters af te nemen.</w:t>
      </w:r>
    </w:p>
    <w:p w14:paraId="75B8A26F" w14:textId="77777777" w:rsidR="007212D6" w:rsidRDefault="007212D6" w:rsidP="007212D6">
      <w:pPr>
        <w:numPr>
          <w:ilvl w:val="0"/>
          <w:numId w:val="4"/>
        </w:numPr>
        <w:spacing w:before="100" w:beforeAutospacing="1" w:after="100" w:afterAutospacing="1"/>
      </w:pPr>
      <w:r>
        <w:rPr>
          <w:rFonts w:ascii="Arial" w:hAnsi="Arial" w:cs="Arial"/>
          <w:sz w:val="21"/>
          <w:szCs w:val="21"/>
        </w:rPr>
        <w:t>Screen fecesmonsters door middel van een Salmonella-brede PCR en zet, indien de PCR positief is, feceskweken in. Indien negatief, overweeg de fecesdiagnostiek na enkele dagen te herhalen.</w:t>
      </w:r>
    </w:p>
    <w:p w14:paraId="473C64ED" w14:textId="77777777" w:rsidR="007212D6" w:rsidRDefault="007212D6" w:rsidP="007212D6">
      <w:pPr>
        <w:numPr>
          <w:ilvl w:val="0"/>
          <w:numId w:val="4"/>
        </w:numPr>
        <w:spacing w:before="100" w:beforeAutospacing="1" w:after="100" w:afterAutospacing="1"/>
      </w:pPr>
      <w:r>
        <w:rPr>
          <w:rFonts w:ascii="Arial" w:hAnsi="Arial" w:cs="Arial"/>
          <w:sz w:val="21"/>
          <w:szCs w:val="21"/>
        </w:rPr>
        <w:t xml:space="preserve">Indien een </w:t>
      </w:r>
      <w:r>
        <w:rPr>
          <w:rStyle w:val="Nadruk"/>
          <w:rFonts w:ascii="Arial" w:hAnsi="Arial" w:cs="Arial"/>
          <w:sz w:val="21"/>
          <w:szCs w:val="21"/>
        </w:rPr>
        <w:t>S</w:t>
      </w:r>
      <w:r>
        <w:rPr>
          <w:rFonts w:ascii="Arial" w:hAnsi="Arial" w:cs="Arial"/>
          <w:sz w:val="21"/>
          <w:szCs w:val="21"/>
        </w:rPr>
        <w:t xml:space="preserve">. </w:t>
      </w:r>
      <w:proofErr w:type="spellStart"/>
      <w:r>
        <w:rPr>
          <w:rFonts w:ascii="Arial" w:hAnsi="Arial" w:cs="Arial"/>
          <w:sz w:val="21"/>
          <w:szCs w:val="21"/>
        </w:rPr>
        <w:t>Typhi</w:t>
      </w:r>
      <w:proofErr w:type="spellEnd"/>
      <w:r>
        <w:rPr>
          <w:rFonts w:ascii="Arial" w:hAnsi="Arial" w:cs="Arial"/>
          <w:sz w:val="21"/>
          <w:szCs w:val="21"/>
        </w:rPr>
        <w:t xml:space="preserve">, of een </w:t>
      </w:r>
      <w:proofErr w:type="spellStart"/>
      <w:r>
        <w:rPr>
          <w:rFonts w:ascii="Arial" w:hAnsi="Arial" w:cs="Arial"/>
          <w:sz w:val="21"/>
          <w:szCs w:val="21"/>
        </w:rPr>
        <w:t>isolaat</w:t>
      </w:r>
      <w:proofErr w:type="spellEnd"/>
      <w:r>
        <w:rPr>
          <w:rFonts w:ascii="Arial" w:hAnsi="Arial" w:cs="Arial"/>
          <w:sz w:val="21"/>
          <w:szCs w:val="21"/>
        </w:rPr>
        <w:t xml:space="preserve"> verdacht voor </w:t>
      </w:r>
      <w:r>
        <w:rPr>
          <w:rStyle w:val="Nadruk"/>
          <w:rFonts w:ascii="Arial" w:hAnsi="Arial" w:cs="Arial"/>
          <w:sz w:val="21"/>
          <w:szCs w:val="21"/>
        </w:rPr>
        <w:t>S</w:t>
      </w:r>
      <w:r>
        <w:rPr>
          <w:rFonts w:ascii="Arial" w:hAnsi="Arial" w:cs="Arial"/>
          <w:sz w:val="21"/>
          <w:szCs w:val="21"/>
        </w:rPr>
        <w:t xml:space="preserve">. </w:t>
      </w:r>
      <w:proofErr w:type="spellStart"/>
      <w:r>
        <w:rPr>
          <w:rFonts w:ascii="Arial" w:hAnsi="Arial" w:cs="Arial"/>
          <w:sz w:val="21"/>
          <w:szCs w:val="21"/>
        </w:rPr>
        <w:t>Typhi</w:t>
      </w:r>
      <w:proofErr w:type="spellEnd"/>
      <w:r>
        <w:rPr>
          <w:rFonts w:ascii="Arial" w:hAnsi="Arial" w:cs="Arial"/>
          <w:sz w:val="21"/>
          <w:szCs w:val="21"/>
        </w:rPr>
        <w:t xml:space="preserve">, wordt gekweekt, verzoeken wij u dit </w:t>
      </w:r>
      <w:proofErr w:type="spellStart"/>
      <w:r>
        <w:rPr>
          <w:rFonts w:ascii="Arial" w:hAnsi="Arial" w:cs="Arial"/>
          <w:sz w:val="21"/>
          <w:szCs w:val="21"/>
        </w:rPr>
        <w:t>isolaat</w:t>
      </w:r>
      <w:proofErr w:type="spellEnd"/>
      <w:r>
        <w:rPr>
          <w:rFonts w:ascii="Arial" w:hAnsi="Arial" w:cs="Arial"/>
          <w:sz w:val="21"/>
          <w:szCs w:val="21"/>
        </w:rPr>
        <w:t xml:space="preserve"> in te sturen naar IDS-RIVM.</w:t>
      </w:r>
    </w:p>
    <w:p w14:paraId="72F8A173" w14:textId="77777777" w:rsidR="007212D6" w:rsidRDefault="007212D6" w:rsidP="007212D6">
      <w:pPr>
        <w:numPr>
          <w:ilvl w:val="0"/>
          <w:numId w:val="4"/>
        </w:numPr>
        <w:spacing w:before="100" w:beforeAutospacing="1" w:after="100" w:afterAutospacing="1"/>
      </w:pPr>
      <w:r>
        <w:rPr>
          <w:rFonts w:ascii="Arial" w:hAnsi="Arial" w:cs="Arial"/>
          <w:sz w:val="21"/>
          <w:szCs w:val="21"/>
        </w:rPr>
        <w:t>Zet tevens diagnostiek in naar alternatieve verwekkers van momenteel veel voorkomende koortsende ziekten, zoals COVID-19 en Influenza en eventueel virale en bacteriële veroorzakers van gastro-enteritis (indien relevant).</w:t>
      </w:r>
    </w:p>
    <w:p w14:paraId="4756B250" w14:textId="77777777" w:rsidR="007212D6" w:rsidRDefault="007212D6" w:rsidP="007212D6">
      <w:pPr>
        <w:pStyle w:val="Normaalweb"/>
      </w:pPr>
      <w:r>
        <w:rPr>
          <w:rStyle w:val="Zwaar"/>
          <w:rFonts w:ascii="Arial" w:hAnsi="Arial" w:cs="Arial"/>
        </w:rPr>
        <w:t>Aandachtspunten voor behandeling</w:t>
      </w:r>
    </w:p>
    <w:p w14:paraId="64037283" w14:textId="77777777" w:rsidR="007212D6" w:rsidRDefault="007212D6" w:rsidP="007212D6">
      <w:pPr>
        <w:numPr>
          <w:ilvl w:val="0"/>
          <w:numId w:val="5"/>
        </w:numPr>
        <w:spacing w:before="100" w:beforeAutospacing="1" w:after="100" w:afterAutospacing="1"/>
      </w:pPr>
      <w:r>
        <w:rPr>
          <w:rFonts w:ascii="Arial" w:hAnsi="Arial" w:cs="Arial"/>
          <w:sz w:val="21"/>
          <w:szCs w:val="21"/>
        </w:rPr>
        <w:t xml:space="preserve">Buiktyfus wordt altijd behandeld met antibiotica, oraal of zo nodig intraveneus, zie de landelijke </w:t>
      </w:r>
      <w:hyperlink r:id="rId9" w:history="1">
        <w:r>
          <w:rPr>
            <w:rStyle w:val="Hyperlink"/>
            <w:rFonts w:ascii="Arial" w:hAnsi="Arial" w:cs="Arial"/>
            <w:sz w:val="21"/>
            <w:szCs w:val="21"/>
          </w:rPr>
          <w:t>antibiotica richtlijn van de SWAB</w:t>
        </w:r>
      </w:hyperlink>
      <w:r>
        <w:rPr>
          <w:rFonts w:ascii="Arial" w:hAnsi="Arial" w:cs="Arial"/>
          <w:sz w:val="21"/>
          <w:szCs w:val="21"/>
        </w:rPr>
        <w:t xml:space="preserve">. </w:t>
      </w:r>
    </w:p>
    <w:p w14:paraId="734D086B" w14:textId="77777777" w:rsidR="007212D6" w:rsidRDefault="007212D6" w:rsidP="007212D6">
      <w:pPr>
        <w:numPr>
          <w:ilvl w:val="0"/>
          <w:numId w:val="5"/>
        </w:numPr>
        <w:spacing w:before="100" w:beforeAutospacing="1" w:after="100" w:afterAutospacing="1"/>
      </w:pPr>
      <w:r>
        <w:rPr>
          <w:rFonts w:ascii="Arial" w:hAnsi="Arial" w:cs="Arial"/>
          <w:sz w:val="21"/>
          <w:szCs w:val="21"/>
        </w:rPr>
        <w:t xml:space="preserve">Het </w:t>
      </w:r>
      <w:proofErr w:type="spellStart"/>
      <w:r>
        <w:rPr>
          <w:rFonts w:ascii="Arial" w:hAnsi="Arial" w:cs="Arial"/>
          <w:sz w:val="21"/>
          <w:szCs w:val="21"/>
        </w:rPr>
        <w:t>indexisolaat</w:t>
      </w:r>
      <w:proofErr w:type="spellEnd"/>
      <w:r>
        <w:rPr>
          <w:rFonts w:ascii="Arial" w:hAnsi="Arial" w:cs="Arial"/>
          <w:sz w:val="21"/>
          <w:szCs w:val="21"/>
        </w:rPr>
        <w:t xml:space="preserve"> is gevoelig voor amoxicilline, </w:t>
      </w:r>
      <w:proofErr w:type="spellStart"/>
      <w:r>
        <w:rPr>
          <w:rFonts w:ascii="Arial" w:hAnsi="Arial" w:cs="Arial"/>
          <w:sz w:val="21"/>
          <w:szCs w:val="21"/>
        </w:rPr>
        <w:t>azytromycine</w:t>
      </w:r>
      <w:proofErr w:type="spellEnd"/>
      <w:r>
        <w:rPr>
          <w:rFonts w:ascii="Arial" w:hAnsi="Arial" w:cs="Arial"/>
          <w:sz w:val="21"/>
          <w:szCs w:val="21"/>
        </w:rPr>
        <w:t xml:space="preserve">, </w:t>
      </w:r>
      <w:proofErr w:type="spellStart"/>
      <w:r>
        <w:rPr>
          <w:rFonts w:ascii="Arial" w:hAnsi="Arial" w:cs="Arial"/>
          <w:sz w:val="21"/>
          <w:szCs w:val="21"/>
        </w:rPr>
        <w:t>co-trimoxazol</w:t>
      </w:r>
      <w:proofErr w:type="spellEnd"/>
      <w:r>
        <w:rPr>
          <w:rFonts w:ascii="Arial" w:hAnsi="Arial" w:cs="Arial"/>
          <w:sz w:val="21"/>
          <w:szCs w:val="21"/>
        </w:rPr>
        <w:t xml:space="preserve">, </w:t>
      </w:r>
      <w:proofErr w:type="spellStart"/>
      <w:r>
        <w:rPr>
          <w:rFonts w:ascii="Arial" w:hAnsi="Arial" w:cs="Arial"/>
          <w:sz w:val="21"/>
          <w:szCs w:val="21"/>
        </w:rPr>
        <w:t>ciprofloxacine</w:t>
      </w:r>
      <w:proofErr w:type="spellEnd"/>
      <w:r>
        <w:rPr>
          <w:rFonts w:ascii="Arial" w:hAnsi="Arial" w:cs="Arial"/>
          <w:sz w:val="21"/>
          <w:szCs w:val="21"/>
        </w:rPr>
        <w:t xml:space="preserve"> en 3e generatie cefalosporines. Het </w:t>
      </w:r>
      <w:proofErr w:type="spellStart"/>
      <w:r>
        <w:rPr>
          <w:rFonts w:ascii="Arial" w:hAnsi="Arial" w:cs="Arial"/>
          <w:sz w:val="21"/>
          <w:szCs w:val="21"/>
        </w:rPr>
        <w:t>indexisolaat</w:t>
      </w:r>
      <w:proofErr w:type="spellEnd"/>
      <w:r>
        <w:rPr>
          <w:rFonts w:ascii="Arial" w:hAnsi="Arial" w:cs="Arial"/>
          <w:sz w:val="21"/>
          <w:szCs w:val="21"/>
        </w:rPr>
        <w:t xml:space="preserve"> is resistent voor gentamicine en cefuroxim. </w:t>
      </w:r>
    </w:p>
    <w:p w14:paraId="3B034398" w14:textId="77777777" w:rsidR="006B22E4" w:rsidRDefault="006B22E4"/>
    <w:sectPr w:rsidR="006B22E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1F292" w14:textId="77777777" w:rsidR="00804CD5" w:rsidRDefault="00804CD5" w:rsidP="008C5F12">
      <w:r>
        <w:separator/>
      </w:r>
    </w:p>
  </w:endnote>
  <w:endnote w:type="continuationSeparator" w:id="0">
    <w:p w14:paraId="17721E73" w14:textId="77777777" w:rsidR="00804CD5" w:rsidRDefault="00804CD5" w:rsidP="008C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21FE9" w14:textId="075EC9D1" w:rsidR="008C5F12" w:rsidRDefault="007212D6">
    <w:pPr>
      <w:pStyle w:val="Voettekst"/>
    </w:pPr>
    <w:r>
      <w:rPr>
        <w:noProof/>
      </w:rPr>
      <mc:AlternateContent>
        <mc:Choice Requires="wps">
          <w:drawing>
            <wp:anchor distT="0" distB="0" distL="0" distR="0" simplePos="0" relativeHeight="251659264" behindDoc="0" locked="0" layoutInCell="1" allowOverlap="1" wp14:anchorId="5A711112" wp14:editId="65B1B0A2">
              <wp:simplePos x="635" y="635"/>
              <wp:positionH relativeFrom="column">
                <wp:align>center</wp:align>
              </wp:positionH>
              <wp:positionV relativeFrom="paragraph">
                <wp:posOffset>635</wp:posOffset>
              </wp:positionV>
              <wp:extent cx="443865" cy="443865"/>
              <wp:effectExtent l="0" t="0" r="18415" b="17145"/>
              <wp:wrapSquare wrapText="bothSides"/>
              <wp:docPr id="2" name="Tekstvak 2" descr="Bedrijfsvertrouwelijk (BBN1)"/>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EFC9A8" w14:textId="68181DA0" w:rsidR="007212D6" w:rsidRPr="007212D6" w:rsidRDefault="007212D6">
                          <w:pPr>
                            <w:rPr>
                              <w:rFonts w:eastAsia="Calibri"/>
                              <w:color w:val="000000"/>
                              <w:sz w:val="20"/>
                              <w:szCs w:val="20"/>
                            </w:rPr>
                          </w:pPr>
                          <w:r w:rsidRPr="007212D6">
                            <w:rPr>
                              <w:rFonts w:eastAsia="Calibri"/>
                              <w:color w:val="000000"/>
                              <w:sz w:val="20"/>
                              <w:szCs w:val="20"/>
                            </w:rPr>
                            <w:t>Bedrijfsvertrouwelijk (BBN1)</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711112" id="_x0000_t202" coordsize="21600,21600" o:spt="202" path="m,l,21600r21600,l21600,xe">
              <v:stroke joinstyle="miter"/>
              <v:path gradientshapeok="t" o:connecttype="rect"/>
            </v:shapetype>
            <v:shape id="Tekstvak 2" o:spid="_x0000_s1026" type="#_x0000_t202" alt="Bedrijfsvertrouwelijk (BBN1)"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" filled="f" stroked="f">
              <v:fill o:detectmouseclick="t"/>
              <v:textbox style="mso-fit-shape-to-text:t" inset="0,0,0,0">
                <w:txbxContent>
                  <w:p w14:paraId="76EFC9A8" w14:textId="68181DA0" w:rsidR="007212D6" w:rsidRPr="007212D6" w:rsidRDefault="007212D6">
                    <w:pPr>
                      <w:rPr>
                        <w:rFonts w:eastAsia="Calibri"/>
                        <w:color w:val="000000"/>
                        <w:sz w:val="20"/>
                        <w:szCs w:val="20"/>
                      </w:rPr>
                    </w:pPr>
                    <w:r w:rsidRPr="007212D6">
                      <w:rPr>
                        <w:rFonts w:eastAsia="Calibri"/>
                        <w:color w:val="000000"/>
                        <w:sz w:val="20"/>
                        <w:szCs w:val="20"/>
                      </w:rPr>
                      <w:t>Bedrijfsvertrouwelijk (BBN1)</w:t>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348A0" w14:textId="5757A89A" w:rsidR="008C5F12" w:rsidRDefault="007212D6">
    <w:pPr>
      <w:pStyle w:val="Voettekst"/>
    </w:pPr>
    <w:r>
      <w:rPr>
        <w:noProof/>
      </w:rPr>
      <mc:AlternateContent>
        <mc:Choice Requires="wps">
          <w:drawing>
            <wp:anchor distT="0" distB="0" distL="0" distR="0" simplePos="0" relativeHeight="251660288" behindDoc="0" locked="0" layoutInCell="1" allowOverlap="1" wp14:anchorId="58EC0345" wp14:editId="37819133">
              <wp:simplePos x="914400" y="9429750"/>
              <wp:positionH relativeFrom="column">
                <wp:align>center</wp:align>
              </wp:positionH>
              <wp:positionV relativeFrom="paragraph">
                <wp:posOffset>635</wp:posOffset>
              </wp:positionV>
              <wp:extent cx="443865" cy="443865"/>
              <wp:effectExtent l="0" t="0" r="18415" b="17145"/>
              <wp:wrapSquare wrapText="bothSides"/>
              <wp:docPr id="3" name="Tekstvak 3" descr="Bedrijfsvertrouwelijk (BBN1)"/>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217519" w14:textId="47962516" w:rsidR="007212D6" w:rsidRPr="007212D6" w:rsidRDefault="007212D6">
                          <w:pPr>
                            <w:rPr>
                              <w:rFonts w:eastAsia="Calibri"/>
                              <w:color w:val="000000"/>
                              <w:sz w:val="20"/>
                              <w:szCs w:val="20"/>
                            </w:rPr>
                          </w:pPr>
                          <w:r w:rsidRPr="007212D6">
                            <w:rPr>
                              <w:rFonts w:eastAsia="Calibri"/>
                              <w:color w:val="000000"/>
                              <w:sz w:val="20"/>
                              <w:szCs w:val="20"/>
                            </w:rPr>
                            <w:t>Bedrijfsvertrouwelijk (BBN1)</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EC0345" id="_x0000_t202" coordsize="21600,21600" o:spt="202" path="m,l,21600r21600,l21600,xe">
              <v:stroke joinstyle="miter"/>
              <v:path gradientshapeok="t" o:connecttype="rect"/>
            </v:shapetype>
            <v:shape id="Tekstvak 3" o:spid="_x0000_s1027" type="#_x0000_t202" alt="Bedrijfsvertrouwelijk (BBN1)"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B0rvVs4AgAAYQQAAA4AAAAAAAAAAAAAAAAALgIA&#10;AGRycy9lMm9Eb2MueG1sUEsBAi0AFAAGAAgAAAAhAISw0yjWAAAAAwEAAA8AAAAAAAAAAAAAAAAA&#10;kgQAAGRycy9kb3ducmV2LnhtbFBLBQYAAAAABAAEAPMAAACVBQAAAAA=&#10;" filled="f" stroked="f">
              <v:fill o:detectmouseclick="t"/>
              <v:textbox style="mso-fit-shape-to-text:t" inset="0,0,0,0">
                <w:txbxContent>
                  <w:p w14:paraId="3D217519" w14:textId="47962516" w:rsidR="007212D6" w:rsidRPr="007212D6" w:rsidRDefault="007212D6">
                    <w:pPr>
                      <w:rPr>
                        <w:rFonts w:eastAsia="Calibri"/>
                        <w:color w:val="000000"/>
                        <w:sz w:val="20"/>
                        <w:szCs w:val="20"/>
                      </w:rPr>
                    </w:pPr>
                    <w:r w:rsidRPr="007212D6">
                      <w:rPr>
                        <w:rFonts w:eastAsia="Calibri"/>
                        <w:color w:val="000000"/>
                        <w:sz w:val="20"/>
                        <w:szCs w:val="20"/>
                      </w:rPr>
                      <w:t>Bedrijfsvertrouwelijk (BBN1)</w:t>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D51AD" w14:textId="1B632228" w:rsidR="008C5F12" w:rsidRDefault="007212D6">
    <w:pPr>
      <w:pStyle w:val="Voettekst"/>
    </w:pPr>
    <w:r>
      <w:rPr>
        <w:noProof/>
      </w:rPr>
      <mc:AlternateContent>
        <mc:Choice Requires="wps">
          <w:drawing>
            <wp:anchor distT="0" distB="0" distL="0" distR="0" simplePos="0" relativeHeight="251658240" behindDoc="0" locked="0" layoutInCell="1" allowOverlap="1" wp14:anchorId="45222B07" wp14:editId="59C6E221">
              <wp:simplePos x="635" y="635"/>
              <wp:positionH relativeFrom="column">
                <wp:align>center</wp:align>
              </wp:positionH>
              <wp:positionV relativeFrom="paragraph">
                <wp:posOffset>635</wp:posOffset>
              </wp:positionV>
              <wp:extent cx="443865" cy="443865"/>
              <wp:effectExtent l="0" t="0" r="18415" b="17145"/>
              <wp:wrapSquare wrapText="bothSides"/>
              <wp:docPr id="1" name="Tekstvak 1" descr="Bedrijfsvertrouwelijk (BBN1)"/>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48BB96" w14:textId="2D513519" w:rsidR="007212D6" w:rsidRPr="007212D6" w:rsidRDefault="007212D6">
                          <w:pPr>
                            <w:rPr>
                              <w:rFonts w:eastAsia="Calibri"/>
                              <w:color w:val="000000"/>
                              <w:sz w:val="20"/>
                              <w:szCs w:val="20"/>
                            </w:rPr>
                          </w:pPr>
                          <w:r w:rsidRPr="007212D6">
                            <w:rPr>
                              <w:rFonts w:eastAsia="Calibri"/>
                              <w:color w:val="000000"/>
                              <w:sz w:val="20"/>
                              <w:szCs w:val="20"/>
                            </w:rPr>
                            <w:t>Bedrijfsvertrouwelijk (BBN1)</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222B07" id="_x0000_t202" coordsize="21600,21600" o:spt="202" path="m,l,21600r21600,l21600,xe">
              <v:stroke joinstyle="miter"/>
              <v:path gradientshapeok="t" o:connecttype="rect"/>
            </v:shapetype>
            <v:shape id="Tekstvak 1" o:spid="_x0000_s1028" type="#_x0000_t202" alt="Bedrijfsvertrouwelijk (BBN1)"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Nvi51I4AgAAYQQAAA4AAAAAAAAAAAAAAAAALgIA&#10;AGRycy9lMm9Eb2MueG1sUEsBAi0AFAAGAAgAAAAhAISw0yjWAAAAAwEAAA8AAAAAAAAAAAAAAAAA&#10;kgQAAGRycy9kb3ducmV2LnhtbFBLBQYAAAAABAAEAPMAAACVBQAAAAA=&#10;" filled="f" stroked="f">
              <v:fill o:detectmouseclick="t"/>
              <v:textbox style="mso-fit-shape-to-text:t" inset="0,0,0,0">
                <w:txbxContent>
                  <w:p w14:paraId="1C48BB96" w14:textId="2D513519" w:rsidR="007212D6" w:rsidRPr="007212D6" w:rsidRDefault="007212D6">
                    <w:pPr>
                      <w:rPr>
                        <w:rFonts w:eastAsia="Calibri"/>
                        <w:color w:val="000000"/>
                        <w:sz w:val="20"/>
                        <w:szCs w:val="20"/>
                      </w:rPr>
                    </w:pPr>
                    <w:r w:rsidRPr="007212D6">
                      <w:rPr>
                        <w:rFonts w:eastAsia="Calibri"/>
                        <w:color w:val="000000"/>
                        <w:sz w:val="20"/>
                        <w:szCs w:val="20"/>
                      </w:rPr>
                      <w:t>Bedrijfsvertrouwelijk (BBN1)</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904CA" w14:textId="77777777" w:rsidR="00804CD5" w:rsidRDefault="00804CD5" w:rsidP="008C5F12">
      <w:r>
        <w:separator/>
      </w:r>
    </w:p>
  </w:footnote>
  <w:footnote w:type="continuationSeparator" w:id="0">
    <w:p w14:paraId="43636407" w14:textId="77777777" w:rsidR="00804CD5" w:rsidRDefault="00804CD5" w:rsidP="008C5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2799C" w14:textId="77777777" w:rsidR="008C5F12" w:rsidRDefault="008C5F1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41B78" w14:textId="77777777" w:rsidR="008C5F12" w:rsidRDefault="008C5F12">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2B8C3" w14:textId="77777777" w:rsidR="008C5F12" w:rsidRDefault="008C5F1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F24D1"/>
    <w:multiLevelType w:val="multilevel"/>
    <w:tmpl w:val="19CCE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10580"/>
    <w:multiLevelType w:val="multilevel"/>
    <w:tmpl w:val="485EC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FC0DB0"/>
    <w:multiLevelType w:val="multilevel"/>
    <w:tmpl w:val="B82C0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0A210D"/>
    <w:multiLevelType w:val="multilevel"/>
    <w:tmpl w:val="3BCEA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24769D"/>
    <w:multiLevelType w:val="multilevel"/>
    <w:tmpl w:val="82F2E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E4"/>
    <w:rsid w:val="006B22E4"/>
    <w:rsid w:val="007212D6"/>
    <w:rsid w:val="00804CD5"/>
    <w:rsid w:val="008C5F12"/>
    <w:rsid w:val="00B70AA6"/>
    <w:rsid w:val="00BD3918"/>
    <w:rsid w:val="00EE0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F096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212D6"/>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C5F12"/>
    <w:pPr>
      <w:tabs>
        <w:tab w:val="center" w:pos="4536"/>
        <w:tab w:val="right" w:pos="9072"/>
      </w:tabs>
    </w:pPr>
  </w:style>
  <w:style w:type="character" w:customStyle="1" w:styleId="KoptekstChar">
    <w:name w:val="Koptekst Char"/>
    <w:basedOn w:val="Standaardalinea-lettertype"/>
    <w:link w:val="Koptekst"/>
    <w:uiPriority w:val="99"/>
    <w:rsid w:val="008C5F12"/>
  </w:style>
  <w:style w:type="paragraph" w:styleId="Voettekst">
    <w:name w:val="footer"/>
    <w:basedOn w:val="Standaard"/>
    <w:link w:val="VoettekstChar"/>
    <w:uiPriority w:val="99"/>
    <w:unhideWhenUsed/>
    <w:rsid w:val="008C5F12"/>
    <w:pPr>
      <w:tabs>
        <w:tab w:val="center" w:pos="4536"/>
        <w:tab w:val="right" w:pos="9072"/>
      </w:tabs>
    </w:pPr>
  </w:style>
  <w:style w:type="character" w:customStyle="1" w:styleId="VoettekstChar">
    <w:name w:val="Voettekst Char"/>
    <w:basedOn w:val="Standaardalinea-lettertype"/>
    <w:link w:val="Voettekst"/>
    <w:uiPriority w:val="99"/>
    <w:rsid w:val="008C5F12"/>
  </w:style>
  <w:style w:type="character" w:styleId="Hyperlink">
    <w:name w:val="Hyperlink"/>
    <w:basedOn w:val="Standaardalinea-lettertype"/>
    <w:uiPriority w:val="99"/>
    <w:semiHidden/>
    <w:unhideWhenUsed/>
    <w:rsid w:val="007212D6"/>
    <w:rPr>
      <w:color w:val="0000FF"/>
      <w:u w:val="single"/>
    </w:rPr>
  </w:style>
  <w:style w:type="paragraph" w:styleId="Normaalweb">
    <w:name w:val="Normal (Web)"/>
    <w:basedOn w:val="Standaard"/>
    <w:uiPriority w:val="99"/>
    <w:semiHidden/>
    <w:unhideWhenUsed/>
    <w:rsid w:val="007212D6"/>
    <w:pPr>
      <w:spacing w:before="100" w:beforeAutospacing="1" w:after="100" w:afterAutospacing="1"/>
    </w:pPr>
  </w:style>
  <w:style w:type="character" w:styleId="Zwaar">
    <w:name w:val="Strong"/>
    <w:basedOn w:val="Standaardalinea-lettertype"/>
    <w:uiPriority w:val="22"/>
    <w:qFormat/>
    <w:rsid w:val="007212D6"/>
    <w:rPr>
      <w:b/>
      <w:bCs/>
    </w:rPr>
  </w:style>
  <w:style w:type="character" w:styleId="Nadruk">
    <w:name w:val="Emphasis"/>
    <w:basedOn w:val="Standaardalinea-lettertype"/>
    <w:uiPriority w:val="20"/>
    <w:qFormat/>
    <w:rsid w:val="007212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8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ci.rivm.nl/richtlijnen/buiktyfu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lci.rivm.nl/richtlijnen/buiktyfu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dult.nl.antibiotica.app/nl/node/8057"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F0A57752</Template>
  <TotalTime>0</TotalTime>
  <Pages>3</Pages>
  <Words>1111</Words>
  <Characters>6111</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2022-05-02T07:19:00Z</dcterms:created>
  <dcterms:modified xsi:type="dcterms:W3CDTF">2022-05-02T07:19:00Z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Bedrijfsvertrouwelijk (BBN1)</vt:lpwstr>
  </property>
  <property fmtid="{D5CDD505-2E9C-101B-9397-08002B2CF9AE}" pid="5" name="MSIP_Label_ce8bfa01-cc62-4e0e-8713-2f7da2586bef_Enabled">
    <vt:lpwstr>true</vt:lpwstr>
  </property>
  <property fmtid="{D5CDD505-2E9C-101B-9397-08002B2CF9AE}" pid="6" name="MSIP_Label_ce8bfa01-cc62-4e0e-8713-2f7da2586bef_SetDate">
    <vt:lpwstr>2022-04-19T09:43:54Z</vt:lpwstr>
  </property>
  <property fmtid="{D5CDD505-2E9C-101B-9397-08002B2CF9AE}" pid="7" name="MSIP_Label_ce8bfa01-cc62-4e0e-8713-2f7da2586bef_Method">
    <vt:lpwstr>Privileged</vt:lpwstr>
  </property>
  <property fmtid="{D5CDD505-2E9C-101B-9397-08002B2CF9AE}" pid="8" name="MSIP_Label_ce8bfa01-cc62-4e0e-8713-2f7da2586bef_Name">
    <vt:lpwstr>Bedrijfsvertrouwelijk (BBN1)</vt:lpwstr>
  </property>
  <property fmtid="{D5CDD505-2E9C-101B-9397-08002B2CF9AE}" pid="9" name="MSIP_Label_ce8bfa01-cc62-4e0e-8713-2f7da2586bef_SiteId">
    <vt:lpwstr>e90fbc72-bc3b-4475-8f41-70d1d17ccf33</vt:lpwstr>
  </property>
  <property fmtid="{D5CDD505-2E9C-101B-9397-08002B2CF9AE}" pid="10" name="MSIP_Label_ce8bfa01-cc62-4e0e-8713-2f7da2586bef_ActionId">
    <vt:lpwstr>d8db7aea-4c9b-4c30-93ab-a77d88037f7a</vt:lpwstr>
  </property>
  <property fmtid="{D5CDD505-2E9C-101B-9397-08002B2CF9AE}" pid="11" name="MSIP_Label_ce8bfa01-cc62-4e0e-8713-2f7da2586bef_ContentBits">
    <vt:lpwstr>2</vt:lpwstr>
  </property>
</Properties>
</file>